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lang w:val="bs-BA"/>
        </w:rPr>
      </w:pPr>
      <w:r>
        <w:rPr>
          <w:rFonts w:cs="Arial" w:ascii="Arial" w:hAnsi="Arial"/>
          <w:sz w:val="20"/>
        </w:rPr>
        <w:t>Na osnovu Uredbe  o postupku  prijema u radni odnos  u javnom sektoru Federacije Bosne i Hercegovine, Odluke o postupku prijema u radni odnos broj:U.D.-01-3.2.-4433-1/19 od 12.03.2019.godine, člana 14.Pravilnika o radu "JP BH POŠTA" d.o.o.Sarajevo, i Odluka o potrebi zasnivanja radnog odnosa broj: U.D.-01-3.1.-15836-4/19 od 31.10.2019.,U.D.-01-3.1.-6104-4/19 od 18.04.2019.,</w:t>
      </w:r>
      <w:r>
        <w:rPr>
          <w:rFonts w:cs="Arial" w:ascii="Arial" w:hAnsi="Arial"/>
          <w:sz w:val="20"/>
          <w:lang w:val="bs-BA"/>
        </w:rPr>
        <w:t xml:space="preserve"> U.D.-01-3.1.-10631-4/19 od 09.07.2019., i U.D.-01-3.1.-9834-4/19 od 09.07.2019., U.D.-01-3.1.-14625-4/19 od 31.10.2019., U.D.-01-3.1.-10228-7/19 od 09.07.2019. i U.D.-01-3.1.-16205-4/19 od 31.10.2019.godine,  </w:t>
      </w:r>
      <w:r>
        <w:rPr>
          <w:rFonts w:cs="Arial" w:ascii="Arial" w:hAnsi="Arial"/>
          <w:sz w:val="20"/>
        </w:rPr>
        <w:t>Centar pošta Tuzla, raspisuje:</w:t>
      </w:r>
    </w:p>
    <w:p>
      <w:pPr>
        <w:pStyle w:val="BodyTextIndent3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Heading1"/>
        <w:jc w:val="center"/>
        <w:rPr>
          <w:szCs w:val="20"/>
        </w:rPr>
      </w:pPr>
      <w:r>
        <w:rPr>
          <w:szCs w:val="20"/>
        </w:rPr>
        <w:t>J A V N I  O G L A 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hr-HR"/>
        </w:rPr>
      </w:pPr>
      <w:r>
        <w:rPr>
          <w:rFonts w:cs="Arial" w:ascii="Arial" w:hAnsi="Arial"/>
          <w:b/>
          <w:sz w:val="20"/>
          <w:szCs w:val="20"/>
          <w:lang w:val="hr-HR"/>
        </w:rPr>
        <w:t xml:space="preserve">za prijem u radni odnos </w:t>
      </w:r>
    </w:p>
    <w:p>
      <w:pPr>
        <w:pStyle w:val="Heading1"/>
        <w:rPr>
          <w:szCs w:val="20"/>
        </w:rPr>
      </w:pPr>
      <w:r>
        <w:rPr>
          <w:szCs w:val="20"/>
        </w:rPr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tabs>
          <w:tab w:val="left" w:pos="6570" w:leader="none"/>
        </w:tabs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Služba za poštansku eksploataciju</w:t>
      </w:r>
    </w:p>
    <w:p>
      <w:pPr>
        <w:pStyle w:val="TextBody"/>
        <w:tabs>
          <w:tab w:val="left" w:pos="6570" w:leader="none"/>
        </w:tabs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Pošta I reda 75101 Tuzla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  <w:t>1.</w:t>
      </w:r>
      <w:r>
        <w:rPr>
          <w:rFonts w:cs="Arial" w:ascii="Arial" w:hAnsi="Arial"/>
          <w:b/>
          <w:bCs/>
          <w:color w:val="000000"/>
          <w:sz w:val="20"/>
        </w:rPr>
        <w:t xml:space="preserve"> </w:t>
      </w:r>
      <w:r>
        <w:rPr>
          <w:rFonts w:cs="Arial" w:ascii="Arial" w:hAnsi="Arial"/>
          <w:bCs/>
          <w:color w:val="000000"/>
          <w:sz w:val="20"/>
        </w:rPr>
        <w:t>Operator-šalterski radnik - 1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  <w:t xml:space="preserve">2. Operator-šalterski radnik - 1 izvršilac na određeno vrijeme, najduže do </w:t>
      </w:r>
      <w:r>
        <w:rPr>
          <w:rFonts w:cs="Arial" w:ascii="Arial" w:hAnsi="Arial"/>
          <w:bCs/>
          <w:sz w:val="20"/>
        </w:rPr>
        <w:t xml:space="preserve">(1) </w:t>
      </w:r>
      <w:r>
        <w:rPr>
          <w:rFonts w:cs="Arial" w:ascii="Arial" w:hAnsi="Arial"/>
          <w:bCs/>
          <w:color w:val="000000"/>
          <w:sz w:val="20"/>
        </w:rPr>
        <w:t>jedne godine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TextBody"/>
        <w:tabs>
          <w:tab w:val="left" w:pos="6570" w:leader="none"/>
        </w:tabs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Pošta II reda 76120 Brčko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  <w:t xml:space="preserve">3. Dostavljač- 1 izvršilac na neodređeno vrijeme 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Pošta II reda 75350 Srebrenik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  <w:t>4. Dostavljač- 1 izvršilac na određeno vrijeme, najduže do jedne godine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Pošta II reda 76250 Gradačac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  <w:t xml:space="preserve">5. Dostavljač- 1 izvršilac na neodređeno vrijeme 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Pošta V reda 75358 Duboki Potok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  <w:t xml:space="preserve">6. Dostavljač- 1 izvršilac na određeno vrijeme, najduže do </w:t>
      </w:r>
      <w:r>
        <w:rPr>
          <w:rFonts w:cs="Arial" w:ascii="Arial" w:hAnsi="Arial"/>
          <w:bCs/>
          <w:sz w:val="20"/>
        </w:rPr>
        <w:t xml:space="preserve">(1)  </w:t>
      </w:r>
      <w:r>
        <w:rPr>
          <w:rFonts w:cs="Arial" w:ascii="Arial" w:hAnsi="Arial"/>
          <w:bCs/>
          <w:color w:val="000000"/>
          <w:sz w:val="20"/>
        </w:rPr>
        <w:t>jedne godine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Služba Poštanski Centar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  <w:t xml:space="preserve">7.Operator-usmjerivač - 1 izvršilac na određeno vrijeme, najduže do </w:t>
      </w:r>
      <w:r>
        <w:rPr>
          <w:rFonts w:cs="Arial" w:ascii="Arial" w:hAnsi="Arial"/>
          <w:bCs/>
          <w:sz w:val="20"/>
        </w:rPr>
        <w:t xml:space="preserve">(1) </w:t>
      </w:r>
      <w:r>
        <w:rPr>
          <w:rFonts w:cs="Arial" w:ascii="Arial" w:hAnsi="Arial"/>
          <w:bCs/>
          <w:color w:val="000000"/>
          <w:sz w:val="20"/>
        </w:rPr>
        <w:t>jedne godine</w:t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Opis poslova za radno mjesto pod rednim brojem 1. i 2.: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bs-BA"/>
        </w:rPr>
      </w:pPr>
      <w:r>
        <w:rPr>
          <w:rFonts w:cs="Arial" w:ascii="Arial" w:hAnsi="Arial"/>
          <w:sz w:val="20"/>
          <w:szCs w:val="20"/>
          <w:lang w:val="bs-BA"/>
        </w:rPr>
        <w:t>Vrši sve vrste uplata i isplata na platnom prometu, uputničkoj i štednoj službi; Obavlja poslove mjenjačke službe; Na šalteru prima sve vrste poštanskih pošiljaka i vodi evidenciju dnevnih radova; Trebuje i preuzima poštanske marke i vrijednosnice i vrši prodaju istih na šalteru pošte; Pruža telegrafske i faks usluge; Obavlja poslove pružanja telefonskih usluga putem kabinskih posrednika; Po potrebi organizuje tehnološki proces rada u svojoj smjeni; Odgovoran je za pravilno i bezbjedno rukovanja gotovim novčanim sredstvima, interveniše u slučaju smetnji i zastoja u radu; Vodi dnevnu i mjesečnu evidenciju i popunjava statističke obrasce pošte; Vodi kreditnice za korisnike; Vodi knjigu prispjelih i primljenih potražnica; Vrši kontrolu rada glavne i pomoćne blagajne; Vrši kontrolu prijema telegrama i vođenja računa telegrafskih usluga; Vrši kontrolu pregleda rada; Vrši svakodnevnu kontrolu unosa podataka i odgovoran je za tačnost istih; Po potrebi obavlja i poslove Blagajnika.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bCs/>
          <w:color w:val="FF0000"/>
          <w:sz w:val="20"/>
        </w:rPr>
      </w:pPr>
      <w:r>
        <w:rPr>
          <w:rFonts w:cs="Arial" w:ascii="Arial" w:hAnsi="Arial"/>
          <w:bCs/>
          <w:color w:val="FF0000"/>
          <w:sz w:val="20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Za radno mjesta pod rednim brojem 1. i 2., kandidati su obavezni dostaviti sljedeću dokumentaciju      (original ili ovjerena kopija):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1.Izvod iz matične knjige rođenih-rodni list;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2.Uvjerenje o državljanstvu (ne starije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3.Prijavu mjesta prebivališta (ne stariju od 6 mjeseci);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4.Srednja škola –IV ili III stepen;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5. 6 (šest ) mjeseci radnog iskustva;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6. Dokaz o statusu kandidata po osnovu prava demobilisanih boraca i članova njihovih porodica  u skladu Zakonom pravima demobiliziranih branilaca i članova njihovih porodica (potvrda,uvjerenje i sl) ukoliko ih isti posjeduje. 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Opis poslova za radna mjesta pod rednim brojevima 3., 4., 5. i 6.:</w:t>
      </w:r>
    </w:p>
    <w:p>
      <w:pPr>
        <w:pStyle w:val="TextBody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bs-BA"/>
        </w:rPr>
      </w:pPr>
      <w:r>
        <w:rPr>
          <w:rFonts w:cs="Arial" w:ascii="Arial" w:hAnsi="Arial"/>
          <w:sz w:val="20"/>
          <w:szCs w:val="20"/>
          <w:lang w:val="bs-BA"/>
        </w:rPr>
        <w:t>Vrši preuzimanje i upis preporučenih pošiljaka u dostavne knjižice; Vrši pripremu svih pošiljaka za dostavu; Vrši dostavu svih poštanskih pošiljaka na domu prema propisima i uputstvima koja reguliraju dostavu poštanskih pošiljki; Vrši isplatu svih novčanih doznaka na domu; Vrši prijem uplata na domu; Vrši pražnjenje poštanskih kovčežića; Vrši dostavu pošiljaka Brze pošte na domu; Vodi ličnu evidenciju za svaki mjesec, a po potrebi i druge evidencije po nalogu nadređenih; Prati evidenciju zaprimljenih „raspoložbi“ i otvorenih poštanskih pretinaca i postupa po istim; Vodi i ažurira evidenciju o dostavnom reonu a koja se tiče nove/stare numeracije, adrese „bb“, adrese „ do broja ??“ i dr; Po povratku s terena vrši obračun i razduženje novčanih zaduženja kod obračunskih radnika u blagajni kao i razduženje ostalih poštanskih pošiljaka kod kartista.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bCs/>
          <w:color w:val="FF0000"/>
          <w:sz w:val="20"/>
        </w:rPr>
      </w:pPr>
      <w:r>
        <w:rPr>
          <w:rFonts w:cs="Arial" w:ascii="Arial" w:hAnsi="Arial"/>
          <w:bCs/>
          <w:color w:val="FF0000"/>
          <w:sz w:val="20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Za radno mjesto pod rednim brojevima 3., 4., 5. i 6. kandidati su obavezni dostaviti sljedeću dokumentaciju (original ili ovjerena kopija):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1.Izvod iz matične knjige rođenih-rodni list;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2.Uvjerenje o državljanstvu (ne starije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3.Prijavu mjesta prebivališta (ne stariju od 6 mjeseci);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4.Srednja škola – III ili IV stepen;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5. 6 (šest ) mjeseci radnog iskustva;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6. Dokaz o statusu kandidata po osnovu prava demobilisanih boraca i članova njihovih porodica  u skladu Zakonom pravima demobiliziranih branilaca i članova njihovih porodica (potvrda,uvjerenje i sl) ukoliko ih isti posjeduje.</w:t>
      </w:r>
    </w:p>
    <w:p>
      <w:pPr>
        <w:pStyle w:val="TextBody"/>
        <w:rPr>
          <w:rFonts w:ascii="Arial" w:hAnsi="Arial" w:cs="Arial"/>
          <w:b/>
          <w:b/>
          <w:bCs/>
          <w:strike/>
          <w:sz w:val="20"/>
        </w:rPr>
      </w:pPr>
      <w:r>
        <w:rPr>
          <w:rFonts w:cs="Arial" w:ascii="Arial" w:hAnsi="Arial"/>
          <w:b/>
          <w:bCs/>
          <w:strike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Opis poslova za radno mjesto pod rednim brojem 7.: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bs-BA"/>
        </w:rPr>
      </w:pPr>
      <w:r>
        <w:rPr>
          <w:rFonts w:cs="Arial" w:ascii="Arial" w:hAnsi="Arial"/>
          <w:bCs/>
          <w:sz w:val="20"/>
        </w:rPr>
        <w:t>Vrši sravnjenje u prispijeću i otpremi zaključaka prema spiskovima razmjene, vrši kartovanje knjiženih pošiljaka, preuzima, sravnjuje otvara i zatvara zaključke vrši podjelu i razradu svežnjeva običnih pismonosnih pošiljaka, vrši sortiranje i žigosanje, te u saradnji sa kartistom sačinjava vreće i svežanjske nazivnice, preuzima, sravnjuje i usmjerava i predaje zaključke vrijednosnih paketa.</w:t>
      </w:r>
      <w:r>
        <w:rPr>
          <w:rFonts w:cs="Arial" w:ascii="Arial" w:hAnsi="Arial"/>
          <w:sz w:val="20"/>
          <w:szCs w:val="20"/>
          <w:lang w:val="bs-BA"/>
        </w:rPr>
        <w:t xml:space="preserve">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Za radno mjesta pod rednim brojem 7., kandidati su obavezni dostaviti sljedeću dokumentaciju      (original ili ovjerena kopija):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1.Izvod iz matične knjige rođenih-rodni list;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2.Uvjerenje o državljanstvu (ne starije od 6 mjeseci);</w:t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>3.Prijavu mjesta prebivališta (ne stariju od 6 mjeseci);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4.Srednja škola – III ili IV stepen;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5. 6 (šest ) mjeseci radnog iskustva;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6. Dokaz o statusu kandidata po osnovu prava demobilisanih boraca i članova njihovih porodica  u skladu Zakonom pravima demobiliziranih branilaca i članova njihovih porodica (potvrda,uvjerenje i sl) ukoliko ih isti posjeduje.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sz w:val="20"/>
        </w:rPr>
        <w:t xml:space="preserve">NAPOMENA: Prioritet pri zapošljavanju  pod jednakim uslovima imaju lica utvrđena u članu 2. i 3. Zakona o pravima demobiliziranih branilaca i članova njihovih porodica (Službene novine Federacije BiH br. 54/19). 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cs="Arial" w:ascii="Arial" w:hAnsi="Arial"/>
          <w:bCs/>
          <w:sz w:val="20"/>
          <w:szCs w:val="20"/>
          <w:lang w:val="hr-HR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bCs/>
          <w:sz w:val="20"/>
          <w:szCs w:val="20"/>
          <w:lang w:val="hr-HR"/>
        </w:rPr>
        <w:t xml:space="preserve">Radno iskustvo </w:t>
      </w:r>
      <w:r>
        <w:rPr>
          <w:rFonts w:cs="Arial" w:ascii="Arial" w:hAnsi="Arial"/>
          <w:sz w:val="20"/>
          <w:szCs w:val="20"/>
          <w:lang w:val="hr-HR"/>
        </w:rPr>
        <w:t>na poslovima sa stručnom spremom, koja je predviđena za radno mjesto koje se popunjava</w:t>
      </w:r>
      <w:r>
        <w:rPr>
          <w:rFonts w:cs="Arial" w:ascii="Arial" w:hAnsi="Arial"/>
          <w:bCs/>
          <w:sz w:val="20"/>
          <w:szCs w:val="20"/>
          <w:lang w:val="hr-HR"/>
        </w:rPr>
        <w:t>, dokazuje se potvrdom prethodnog poslodavca ili poslodavaca kod kojih je kandidat radio ili radi a koja sadrži podatke o tome na kojim poslovima je kandidat radio ili radi, sa kojom stručnom spremom i sa precizno navedenim periodom radnog angažovanja ili Uvjerenjem porezne uprave (period angažovanja i stručna sprema radnog mjesta).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bCs/>
          <w:sz w:val="20"/>
          <w:szCs w:val="20"/>
          <w:u w:val="single"/>
          <w:lang w:val="hr-HR"/>
        </w:rPr>
      </w:pPr>
      <w:r>
        <w:rPr>
          <w:rFonts w:cs="Arial" w:ascii="Arial" w:hAnsi="Arial"/>
          <w:b/>
          <w:bCs/>
          <w:sz w:val="20"/>
          <w:szCs w:val="20"/>
          <w:u w:val="single"/>
          <w:lang w:val="hr-HR"/>
        </w:rPr>
        <w:t xml:space="preserve">Uvjerenja o uplaćenim doprinosima se neće priznavati  kao dokaz  za traženo radno iskustvo. 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ind w:firstLine="708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Kandidat može da se prijavi na više radnih mjesta, ali za svako radno mjesto mora podnijeti posebnu prijavu i navesti na koje se radno mjesto prijavio uz napomenu da je dovoljno da ovjerene kopije dokaza priloži samo za jedno radno mjesto, a za druga radna mjesta na koja se prijavio  samo kopije dokaza o ispunjavanju uslova, ukoliko su isti uslovi za radna mjesta. </w:t>
      </w:r>
    </w:p>
    <w:p>
      <w:pPr>
        <w:pStyle w:val="TextBody"/>
        <w:ind w:firstLine="708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Polaganju ispita mogu da pristupe samo kandidati koji su podnijeli urednu, potpunu i blagovremenu prijavu.</w:t>
      </w:r>
    </w:p>
    <w:p>
      <w:pPr>
        <w:pStyle w:val="TextBody"/>
        <w:ind w:firstLine="708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ind w:firstLine="708"/>
        <w:rPr>
          <w:rFonts w:ascii="Arial" w:hAnsi="Arial" w:cs="Arial"/>
          <w:bCs/>
          <w:sz w:val="20"/>
        </w:rPr>
      </w:pPr>
      <w:r>
        <w:rPr>
          <w:rFonts w:cs="Arial" w:ascii="Arial" w:hAnsi="Arial"/>
          <w:sz w:val="20"/>
        </w:rPr>
        <w:t>Komisija za izbor kandidata obavještava kandidate o datumu polaganja ispita pismenim putem. Ako kandidat ne pristupi polaganju pismenog ili usmenog  dijela ispita, smatra se  da je odustao od učešća  u oglasnoj proceduri  i neće biti pismeno obaviješten o  ishodu javnog  oglasa. Pismeni dio ispita polaže se u vidu testa.</w:t>
      </w:r>
      <w:r>
        <w:rPr>
          <w:rFonts w:cs="Arial" w:ascii="Arial" w:hAnsi="Arial"/>
          <w:bCs/>
          <w:sz w:val="20"/>
        </w:rPr>
        <w:t xml:space="preserve"> Pitanja iz pismenog dijela ispita odnose se na opće znanje kandidata, oblast poslova kojom se bavi Društvo i na oblast i vrstu poslova kojoj pripada radno mjesto, na koje se kandidat prijavio. Kandidati  koji polože pismeni dio ispita  polažu i usmeni dio ispita.</w:t>
      </w:r>
    </w:p>
    <w:p>
      <w:pPr>
        <w:pStyle w:val="TextBody"/>
        <w:ind w:firstLine="708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O datumu, vremenu i mjestu polaganja pismenog dijela ispita, bit će obaviješteni pismenim putem.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Nakon održanog pismenog dijela ispita, o datumu i vremenu polaganju usmenog dijela ispita kandidati će biti obaviješteni pismenim putem ili usmeno odmah nakon polaganja pismenog dijela ispita, ukoliko se prijavi mali broj kandidata.</w:t>
      </w:r>
    </w:p>
    <w:p>
      <w:pPr>
        <w:pStyle w:val="TextBody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TextBody"/>
        <w:rPr/>
      </w:pPr>
      <w:r>
        <w:rPr>
          <w:rFonts w:cs="Arial" w:ascii="Arial" w:hAnsi="Arial"/>
          <w:bCs/>
          <w:sz w:val="20"/>
        </w:rPr>
        <w:t xml:space="preserve">Prijavljivanje na oglas: Uz obavezno  potpisanu prijavu  sa kraćom biografijom i naznakom na koje radno mjesto se kandidata prijavljuje, kandidati su  dužni dostviti dokaze koji su nabrojati  za radno mjesto na koje se prijavljuje. </w:t>
      </w:r>
      <w:r>
        <w:rPr>
          <w:rFonts w:cs="Arial" w:ascii="Arial" w:hAnsi="Arial"/>
          <w:bCs/>
          <w:sz w:val="20"/>
          <w:u w:val="single"/>
        </w:rPr>
        <w:t>Samo izabrani kandidat će imati obavezu da dostavi ljekarsko uvjerenje.</w:t>
      </w:r>
    </w:p>
    <w:p>
      <w:pPr>
        <w:pStyle w:val="TextBody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TextBody"/>
        <w:ind w:firstLine="708"/>
        <w:rPr/>
      </w:pPr>
      <w:r>
        <w:rPr>
          <w:rFonts w:cs="Arial" w:ascii="Arial" w:hAnsi="Arial"/>
          <w:b/>
          <w:bCs/>
          <w:sz w:val="20"/>
        </w:rPr>
        <w:t>Prijave na oglas sa tačnom adresom, e-mailom,  biografijom i dokazima o ispunjavanju posebnih uslova, treba dostaviti u roku od 14</w:t>
      </w:r>
      <w:r>
        <w:rPr>
          <w:rFonts w:cs="Arial" w:ascii="Arial" w:hAnsi="Arial"/>
          <w:b/>
          <w:bCs/>
          <w:color w:val="FF0000"/>
          <w:sz w:val="20"/>
        </w:rPr>
        <w:t xml:space="preserve"> </w:t>
      </w:r>
      <w:r>
        <w:rPr>
          <w:rFonts w:cs="Arial" w:ascii="Arial" w:hAnsi="Arial"/>
          <w:b/>
          <w:bCs/>
          <w:sz w:val="20"/>
        </w:rPr>
        <w:t xml:space="preserve">dana od dana objavljivanja oglasa u dnevnim novinama </w:t>
      </w:r>
      <w:r>
        <w:rPr>
          <w:rFonts w:cs="Arial" w:ascii="Arial" w:hAnsi="Arial"/>
          <w:b/>
          <w:bCs/>
          <w:color w:val="000000"/>
          <w:sz w:val="20"/>
        </w:rPr>
        <w:t xml:space="preserve">Oslobođenje </w:t>
      </w:r>
      <w:r>
        <w:rPr>
          <w:rFonts w:cs="Arial" w:ascii="Arial" w:hAnsi="Arial"/>
          <w:b/>
          <w:bCs/>
          <w:color w:val="000000"/>
          <w:sz w:val="20"/>
        </w:rPr>
        <w:t xml:space="preserve">i Dnevni avaz </w:t>
      </w:r>
      <w:r>
        <w:rPr>
          <w:rFonts w:cs="Arial" w:ascii="Arial" w:hAnsi="Arial"/>
          <w:b/>
          <w:bCs/>
          <w:sz w:val="20"/>
        </w:rPr>
        <w:t xml:space="preserve">na  adresu: Centar pošta Tuzla, Aleja Alije Izetbegovića br.29, 75000 Tuzla  sa naznakom na koverti: Prijava na javni oglas uz naznaku - redni broj radnog mjesta, naziv radnog mjesta i Poštu.  </w:t>
      </w:r>
    </w:p>
    <w:p>
      <w:pPr>
        <w:pStyle w:val="TextBody"/>
        <w:ind w:firstLine="708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 </w:t>
      </w:r>
    </w:p>
    <w:p>
      <w:pPr>
        <w:pStyle w:val="TextBody"/>
        <w:ind w:firstLine="708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Cs/>
          <w:sz w:val="20"/>
        </w:rPr>
        <w:t xml:space="preserve">Neuredne, nepotpune i neblagovremene prijave neće biti uzete u razmatranje.  </w:t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extBody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color w:val="FF0000"/>
          <w:szCs w:val="22"/>
        </w:rPr>
      </w:pPr>
      <w:r>
        <w:rPr>
          <w:color w:val="FF0000"/>
          <w:szCs w:val="22"/>
        </w:rPr>
      </w:r>
    </w:p>
    <w:p>
      <w:pPr>
        <w:pStyle w:val="TextBody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260" w:right="1417" w:header="510" w:top="567" w:footer="0" w:bottom="28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00" w:leader="none"/>
        <w:tab w:val="center" w:pos="4536" w:leader="none"/>
        <w:tab w:val="right" w:pos="9072" w:leader="none"/>
        <w:tab w:val="right" w:pos="9360" w:leader="none"/>
      </w:tabs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  <w:tab w:val="right" w:pos="9072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857875" cy="600075"/>
          <wp:effectExtent l="0" t="0" r="0" b="0"/>
          <wp:docPr id="1" name="Picture 102" descr="Tuz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2" descr="Tuz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s-BA" w:eastAsia="bs-B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54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b542b"/>
    <w:pPr>
      <w:keepNext/>
      <w:outlineLvl w:val="0"/>
    </w:pPr>
    <w:rPr>
      <w:rFonts w:ascii="Arial" w:hAnsi="Arial" w:cs="Arial"/>
      <w:b/>
      <w:bCs/>
      <w:sz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cb542b"/>
    <w:pPr>
      <w:keepNext/>
      <w:outlineLvl w:val="1"/>
    </w:pPr>
    <w:rPr>
      <w:rFonts w:ascii="Arial" w:hAnsi="Arial" w:cs="Arial"/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2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79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25f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127237"/>
    <w:rPr>
      <w:rFonts w:ascii="Calibri" w:hAnsi="Calibri"/>
      <w:b/>
      <w:bCs/>
      <w:sz w:val="28"/>
      <w:szCs w:val="28"/>
      <w:lang w:val="en-GB" w:eastAsia="en-US"/>
    </w:rPr>
  </w:style>
  <w:style w:type="character" w:styleId="BodyTextChar" w:customStyle="1">
    <w:name w:val="Body Text Char"/>
    <w:basedOn w:val="DefaultParagraphFont"/>
    <w:link w:val="BodyText"/>
    <w:semiHidden/>
    <w:qFormat/>
    <w:rsid w:val="00127237"/>
    <w:rPr>
      <w:sz w:val="24"/>
      <w:lang w:val="hr-HR"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rsid w:val="00751626"/>
    <w:rPr>
      <w:sz w:val="24"/>
      <w:szCs w:val="24"/>
      <w:lang w:val="en-GB" w:eastAsia="en-US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751626"/>
    <w:rPr>
      <w:sz w:val="24"/>
      <w:szCs w:val="24"/>
      <w:lang w:val="en-GB"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52628d"/>
    <w:rPr>
      <w:rFonts w:ascii="Cambria" w:hAnsi="Cambria" w:eastAsia="Times New Roman" w:cs="Times New Roman"/>
      <w:b/>
      <w:bCs/>
      <w:sz w:val="26"/>
      <w:szCs w:val="26"/>
      <w:lang w:val="en-GB"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16cac"/>
    <w:rPr>
      <w:rFonts w:ascii="Calibri" w:hAnsi="Calibri" w:eastAsia="Times New Roman" w:cs="Times New Roman"/>
      <w:b/>
      <w:bCs/>
      <w:sz w:val="22"/>
      <w:szCs w:val="22"/>
      <w:lang w:val="en-GB" w:eastAsia="en-US"/>
    </w:rPr>
  </w:style>
  <w:style w:type="character" w:styleId="Heading1Char" w:customStyle="1">
    <w:name w:val="Heading 1 Char"/>
    <w:basedOn w:val="DefaultParagraphFont"/>
    <w:link w:val="Heading1"/>
    <w:qFormat/>
    <w:rsid w:val="00b7254d"/>
    <w:rPr>
      <w:rFonts w:ascii="Arial" w:hAnsi="Arial" w:cs="Arial"/>
      <w:b/>
      <w:bCs/>
      <w:szCs w:val="24"/>
      <w:lang w:val="hr-HR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be279d"/>
    <w:rPr>
      <w:rFonts w:ascii="Calibri" w:hAnsi="Calibri" w:eastAsia="Times New Roman" w:cs="Times New Roman"/>
      <w:sz w:val="24"/>
      <w:szCs w:val="24"/>
      <w:lang w:val="en-GB" w:eastAsia="en-US"/>
    </w:rPr>
  </w:style>
  <w:style w:type="character" w:styleId="Heading2Char" w:customStyle="1">
    <w:name w:val="Heading 2 Char"/>
    <w:basedOn w:val="DefaultParagraphFont"/>
    <w:link w:val="Heading2"/>
    <w:qFormat/>
    <w:rsid w:val="00c57d0d"/>
    <w:rPr>
      <w:rFonts w:ascii="Arial" w:hAnsi="Arial" w:cs="Arial"/>
      <w:b/>
      <w:bCs/>
      <w:sz w:val="24"/>
      <w:szCs w:val="24"/>
      <w:lang w:val="hr-HR" w:eastAsia="en-US"/>
    </w:rPr>
  </w:style>
  <w:style w:type="character" w:styleId="HeaderChar" w:customStyle="1">
    <w:name w:val="Header Char"/>
    <w:basedOn w:val="DefaultParagraphFont"/>
    <w:link w:val="Header"/>
    <w:qFormat/>
    <w:rsid w:val="00b83e57"/>
    <w:rPr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276a40"/>
    <w:rPr>
      <w:b/>
      <w:bCs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32cb5"/>
    <w:rPr>
      <w:sz w:val="24"/>
      <w:szCs w:val="24"/>
      <w:lang w:val="en-GB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03347b"/>
    <w:rPr>
      <w:sz w:val="16"/>
      <w:szCs w:val="16"/>
      <w:lang w:val="en-GB" w:eastAsia="en-US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03347b"/>
    <w:rPr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39403e"/>
    <w:rPr>
      <w:rFonts w:ascii="Cambria" w:hAnsi="Cambria"/>
      <w:b/>
      <w:bCs/>
      <w:sz w:val="32"/>
      <w:szCs w:val="32"/>
      <w:lang w:val="en-GB" w:eastAsia="en-US"/>
    </w:rPr>
  </w:style>
  <w:style w:type="character" w:styleId="Appleconvertedspace" w:customStyle="1">
    <w:name w:val="apple-converted-space"/>
    <w:basedOn w:val="DefaultParagraphFont"/>
    <w:qFormat/>
    <w:rsid w:val="006911a3"/>
    <w:rPr/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3e125f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GB" w:eastAsia="en-US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3e125f"/>
    <w:rPr>
      <w:lang w:val="hr-HR"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5fd9"/>
    <w:rPr>
      <w:rFonts w:ascii="Tahoma" w:hAnsi="Tahoma" w:cs="Tahoma"/>
      <w:sz w:val="16"/>
      <w:szCs w:val="16"/>
      <w:lang w:val="en-GB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cc4bb6"/>
    <w:rPr>
      <w:sz w:val="16"/>
      <w:szCs w:val="16"/>
      <w:lang w:val="en-GB" w:eastAsia="en-US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link w:val="BodyTextChar"/>
    <w:semiHidden/>
    <w:rsid w:val="00127237"/>
    <w:pPr>
      <w:jc w:val="both"/>
    </w:pPr>
    <w:rPr>
      <w:szCs w:val="20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cb542b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cb542b"/>
    <w:pPr>
      <w:tabs>
        <w:tab w:val="center" w:pos="4536" w:leader="none"/>
        <w:tab w:val="right" w:pos="9072" w:leader="none"/>
      </w:tabs>
    </w:pPr>
    <w:rPr/>
  </w:style>
  <w:style w:type="paragraph" w:styleId="TextBodyIndent">
    <w:name w:val="Text Body Indent"/>
    <w:basedOn w:val="Normal"/>
    <w:link w:val="BodyTextIndentChar"/>
    <w:uiPriority w:val="99"/>
    <w:unhideWhenUsed/>
    <w:rsid w:val="00751626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unhideWhenUsed/>
    <w:qFormat/>
    <w:rsid w:val="00751626"/>
    <w:pPr>
      <w:spacing w:lineRule="auto" w:line="480" w:before="0" w:after="120"/>
    </w:pPr>
    <w:rPr/>
  </w:style>
  <w:style w:type="paragraph" w:styleId="BlockText">
    <w:name w:val="Block Text"/>
    <w:basedOn w:val="Normal"/>
    <w:unhideWhenUsed/>
    <w:qFormat/>
    <w:rsid w:val="00751626"/>
    <w:pPr>
      <w:ind w:left="0" w:right="0" w:hanging="0"/>
      <w:jc w:val="both"/>
    </w:pPr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dc21a4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bs-BA" w:eastAsia="en-US" w:bidi="ar-SA"/>
    </w:rPr>
  </w:style>
  <w:style w:type="paragraph" w:styleId="ListParagraph">
    <w:name w:val="List Paragraph"/>
    <w:basedOn w:val="Normal"/>
    <w:uiPriority w:val="34"/>
    <w:qFormat/>
    <w:rsid w:val="00276a40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3347b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link w:val="CommentTextChar"/>
    <w:semiHidden/>
    <w:qFormat/>
    <w:rsid w:val="0003347b"/>
    <w:pPr/>
    <w:rPr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9403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semiHidden/>
    <w:qFormat/>
    <w:rsid w:val="003e125f"/>
    <w:pPr/>
    <w:rPr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5fd9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cc4bb6"/>
    <w:pPr>
      <w:spacing w:before="0" w:after="120"/>
      <w:ind w:left="283" w:hanging="0"/>
    </w:pPr>
    <w:rPr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F64FE-7E85-4494-B46D-D1B2FB65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57</Paragraphs>
  <Company>BH Posta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2019-11-19T07:20:00Z</dcterms:created>
  <dc:creator>edisdj</dc:creator>
  <dc:language>bs-BA</dc:language>
  <cp:lastPrinted>2019-11-15T14:09:00Z</cp:lastPrinted>
  <dcterms:modified xsi:type="dcterms:W3CDTF">2019-11-19T13:48:00Z</dcterms:modified>
  <cp:revision>6</cp:revision>
  <dc:title>SEKTOR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BH Posta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