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F0" w:rsidRDefault="000675F0" w:rsidP="000675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UNIVERZITET U TUZLI</w:t>
      </w:r>
    </w:p>
    <w:p w:rsidR="000675F0" w:rsidRDefault="000675F0" w:rsidP="000675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osnovu Odluka Senata Univerziteta u Tuzli broj: 03-575-1-3.2.4/24 od 07.02.2024. godine i broj: 03-575-1-3.2.5/24 od 07.02.2024. godine, te Odluka Vlade Tuzlanskog kantona o davanju saglasnosti za raspisivanje konkursa broj: 02/1-30-7851/24 od 26.03.202</w:t>
      </w:r>
      <w:r w:rsidR="00441279">
        <w:rPr>
          <w:rFonts w:ascii="Times New Roman" w:hAnsi="Times New Roman" w:cs="Times New Roman"/>
          <w:sz w:val="20"/>
          <w:szCs w:val="20"/>
        </w:rPr>
        <w:t xml:space="preserve">4. godine i </w:t>
      </w:r>
      <w:r>
        <w:rPr>
          <w:rFonts w:ascii="Times New Roman" w:hAnsi="Times New Roman" w:cs="Times New Roman"/>
          <w:sz w:val="20"/>
          <w:szCs w:val="20"/>
        </w:rPr>
        <w:t xml:space="preserve"> broj: 02/1-30-7131/24 od 26.03.2024. godine, </w:t>
      </w:r>
    </w:p>
    <w:p w:rsidR="000675F0" w:rsidRDefault="000675F0" w:rsidP="000675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raspisuje</w:t>
      </w:r>
    </w:p>
    <w:p w:rsidR="000675F0" w:rsidRDefault="000675F0" w:rsidP="000675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KONKURS</w:t>
      </w:r>
    </w:p>
    <w:p w:rsidR="000675F0" w:rsidRDefault="000675F0" w:rsidP="00067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 izbor u naučno-nastavna i saradnička zvanja </w:t>
      </w:r>
    </w:p>
    <w:p w:rsidR="000675F0" w:rsidRDefault="000675F0" w:rsidP="000675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sa zasnivanjem radnog odnosa sa punim radnim vremenom</w:t>
      </w: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Akademija dramskih umjetnosti</w:t>
      </w: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Saradnik u saradničko zvanje </w:t>
      </w:r>
      <w:r>
        <w:rPr>
          <w:rFonts w:ascii="Times New Roman" w:hAnsi="Times New Roman" w:cs="Times New Roman"/>
          <w:b/>
          <w:sz w:val="20"/>
          <w:szCs w:val="20"/>
        </w:rPr>
        <w:t>viši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asistent</w:t>
      </w:r>
      <w:r>
        <w:rPr>
          <w:rFonts w:ascii="Times New Roman" w:hAnsi="Times New Roman" w:cs="Times New Roman"/>
          <w:sz w:val="20"/>
          <w:szCs w:val="20"/>
        </w:rPr>
        <w:t xml:space="preserve"> za užu umjetničku oblast „Gluma“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1 </w:t>
      </w:r>
      <w:r>
        <w:rPr>
          <w:rFonts w:ascii="Times New Roman" w:hAnsi="Times New Roman" w:cs="Times New Roman"/>
          <w:sz w:val="20"/>
          <w:szCs w:val="20"/>
          <w:lang w:val="nb-NO"/>
        </w:rPr>
        <w:t>izvr</w:t>
      </w:r>
      <w:r>
        <w:rPr>
          <w:rFonts w:ascii="Times New Roman" w:hAnsi="Times New Roman" w:cs="Times New Roman"/>
          <w:sz w:val="20"/>
          <w:szCs w:val="20"/>
        </w:rPr>
        <w:t>š</w:t>
      </w:r>
      <w:r>
        <w:rPr>
          <w:rFonts w:ascii="Times New Roman" w:hAnsi="Times New Roman" w:cs="Times New Roman"/>
          <w:sz w:val="20"/>
          <w:szCs w:val="20"/>
          <w:lang w:val="nb-NO"/>
        </w:rPr>
        <w:t>ilac</w:t>
      </w: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Saradnik u saradničko zvanje </w:t>
      </w:r>
      <w:r>
        <w:rPr>
          <w:rFonts w:ascii="Times New Roman" w:hAnsi="Times New Roman" w:cs="Times New Roman"/>
          <w:b/>
          <w:sz w:val="20"/>
          <w:szCs w:val="20"/>
        </w:rPr>
        <w:t>asistent</w:t>
      </w:r>
      <w:r>
        <w:rPr>
          <w:rFonts w:ascii="Times New Roman" w:hAnsi="Times New Roman" w:cs="Times New Roman"/>
          <w:sz w:val="20"/>
          <w:szCs w:val="20"/>
        </w:rPr>
        <w:t xml:space="preserve"> za užu umjetničku oblast „Gluma“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1 </w:t>
      </w:r>
      <w:r>
        <w:rPr>
          <w:rFonts w:ascii="Times New Roman" w:hAnsi="Times New Roman" w:cs="Times New Roman"/>
          <w:sz w:val="20"/>
          <w:szCs w:val="20"/>
          <w:lang w:val="nb-NO"/>
        </w:rPr>
        <w:t>izvr</w:t>
      </w:r>
      <w:r>
        <w:rPr>
          <w:rFonts w:ascii="Times New Roman" w:hAnsi="Times New Roman" w:cs="Times New Roman"/>
          <w:sz w:val="20"/>
          <w:szCs w:val="20"/>
        </w:rPr>
        <w:t>š</w:t>
      </w:r>
      <w:r>
        <w:rPr>
          <w:rFonts w:ascii="Times New Roman" w:hAnsi="Times New Roman" w:cs="Times New Roman"/>
          <w:sz w:val="20"/>
          <w:szCs w:val="20"/>
          <w:lang w:val="nb-NO"/>
        </w:rPr>
        <w:t>ilac</w:t>
      </w: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Ekonomski fakultet</w:t>
      </w: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Saradnik u saradničko zvanje </w:t>
      </w:r>
      <w:r>
        <w:rPr>
          <w:rFonts w:ascii="Times New Roman" w:hAnsi="Times New Roman" w:cs="Times New Roman"/>
          <w:b/>
          <w:sz w:val="20"/>
          <w:szCs w:val="20"/>
        </w:rPr>
        <w:t>asistent</w:t>
      </w:r>
      <w:r>
        <w:rPr>
          <w:rFonts w:ascii="Times New Roman" w:hAnsi="Times New Roman" w:cs="Times New Roman"/>
          <w:sz w:val="20"/>
          <w:szCs w:val="20"/>
        </w:rPr>
        <w:t xml:space="preserve"> za užu naučnu oblast „Digitalna ekonomija“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1 </w:t>
      </w:r>
      <w:r>
        <w:rPr>
          <w:rFonts w:ascii="Times New Roman" w:hAnsi="Times New Roman" w:cs="Times New Roman"/>
          <w:sz w:val="20"/>
          <w:szCs w:val="20"/>
          <w:lang w:val="nb-NO"/>
        </w:rPr>
        <w:t>izvr</w:t>
      </w:r>
      <w:r>
        <w:rPr>
          <w:rFonts w:ascii="Times New Roman" w:hAnsi="Times New Roman" w:cs="Times New Roman"/>
          <w:sz w:val="20"/>
          <w:szCs w:val="20"/>
        </w:rPr>
        <w:t>š</w:t>
      </w:r>
      <w:r>
        <w:rPr>
          <w:rFonts w:ascii="Times New Roman" w:hAnsi="Times New Roman" w:cs="Times New Roman"/>
          <w:sz w:val="20"/>
          <w:szCs w:val="20"/>
          <w:lang w:val="nb-NO"/>
        </w:rPr>
        <w:t>ilac</w:t>
      </w: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Fakultet elektrotehnike</w:t>
      </w: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Saradnik u saradničko zvanje </w:t>
      </w:r>
      <w:r>
        <w:rPr>
          <w:rFonts w:ascii="Times New Roman" w:hAnsi="Times New Roman" w:cs="Times New Roman"/>
          <w:b/>
          <w:sz w:val="20"/>
          <w:szCs w:val="20"/>
        </w:rPr>
        <w:t>asistent</w:t>
      </w:r>
      <w:r>
        <w:rPr>
          <w:rFonts w:ascii="Times New Roman" w:hAnsi="Times New Roman" w:cs="Times New Roman"/>
          <w:sz w:val="20"/>
          <w:szCs w:val="20"/>
        </w:rPr>
        <w:t xml:space="preserve"> za uže naučne oblasti:</w:t>
      </w: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„Računarstvo i informatika“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1 </w:t>
      </w:r>
      <w:r>
        <w:rPr>
          <w:rFonts w:ascii="Times New Roman" w:hAnsi="Times New Roman" w:cs="Times New Roman"/>
          <w:sz w:val="20"/>
          <w:szCs w:val="20"/>
          <w:lang w:val="nb-NO"/>
        </w:rPr>
        <w:t>izvr</w:t>
      </w:r>
      <w:r>
        <w:rPr>
          <w:rFonts w:ascii="Times New Roman" w:hAnsi="Times New Roman" w:cs="Times New Roman"/>
          <w:sz w:val="20"/>
          <w:szCs w:val="20"/>
        </w:rPr>
        <w:t>š</w:t>
      </w:r>
      <w:r>
        <w:rPr>
          <w:rFonts w:ascii="Times New Roman" w:hAnsi="Times New Roman" w:cs="Times New Roman"/>
          <w:sz w:val="20"/>
          <w:szCs w:val="20"/>
          <w:lang w:val="nb-NO"/>
        </w:rPr>
        <w:t>ilac</w:t>
      </w: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„Elektroenergetske mreže i sistemi“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1 </w:t>
      </w:r>
      <w:r>
        <w:rPr>
          <w:rFonts w:ascii="Times New Roman" w:hAnsi="Times New Roman" w:cs="Times New Roman"/>
          <w:sz w:val="20"/>
          <w:szCs w:val="20"/>
          <w:lang w:val="nb-NO"/>
        </w:rPr>
        <w:t>izvr</w:t>
      </w:r>
      <w:r>
        <w:rPr>
          <w:rFonts w:ascii="Times New Roman" w:hAnsi="Times New Roman" w:cs="Times New Roman"/>
          <w:sz w:val="20"/>
          <w:szCs w:val="20"/>
        </w:rPr>
        <w:t>š</w:t>
      </w:r>
      <w:r>
        <w:rPr>
          <w:rFonts w:ascii="Times New Roman" w:hAnsi="Times New Roman" w:cs="Times New Roman"/>
          <w:sz w:val="20"/>
          <w:szCs w:val="20"/>
          <w:lang w:val="nb-NO"/>
        </w:rPr>
        <w:t>ilac</w:t>
      </w: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Prirodno-matematički fakultet       </w:t>
      </w: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Saradnik u saradničko zvanje</w:t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 viši asistent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za užu  naučnu oblast „Fizička geografija“</w:t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  <w:t xml:space="preserve">         1 izvršilac</w:t>
      </w: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Saradnik u saradničko zvanje</w:t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 asistent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za uže naučne oblasti:</w:t>
      </w: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„Biosistematika i morfologija biljaka“</w:t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  <w:t xml:space="preserve">         1 izvršilac</w:t>
      </w: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„Opća i eksperimentalna  fizika“</w:t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  <w:t xml:space="preserve">         1 izvršilac</w:t>
      </w: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„Opća i teorijska fizika“</w:t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  <w:t xml:space="preserve">         1 izvršilac</w:t>
      </w: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„Genetika, biologija ćelije i mikrobiologija“</w:t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ab/>
        <w:t xml:space="preserve">         1 izvršilac</w:t>
      </w: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„Biosistematika i morfologija životinja“</w:t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  <w:t xml:space="preserve">         1 izvršilac</w:t>
      </w: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„Ekologija biljaka i životinja“</w:t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  <w:t xml:space="preserve">         1 izvršilac</w:t>
      </w: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„Teorijska matematika“</w:t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  <w:t xml:space="preserve">         1 izvršilac</w:t>
      </w: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Rudarsko-geološko-građevinski fakultet</w:t>
      </w: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Nastavnik u sva naučno-nastavna zvanja za užu naučnu oblast „Mineralogija i petrologija“</w:t>
      </w:r>
      <w:r>
        <w:rPr>
          <w:rFonts w:ascii="Times New Roman" w:hAnsi="Times New Roman" w:cs="Times New Roman"/>
          <w:sz w:val="20"/>
          <w:szCs w:val="20"/>
          <w:lang w:val="hr-HR"/>
        </w:rPr>
        <w:tab/>
        <w:t xml:space="preserve">         1 izvršilac</w:t>
      </w: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Saradnik u saradničko zvanje</w:t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 viši asistent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za uže naučne oblasti:</w:t>
      </w: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 „Opšta sigurnost“</w:t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  <w:t xml:space="preserve">         1 izvršilac</w:t>
      </w: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„Regionalna geologija“</w:t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  <w:t xml:space="preserve">         1 izvršilac</w:t>
      </w: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   </w:t>
      </w: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Saradnik u saradničko zvanje</w:t>
      </w:r>
      <w:r>
        <w:rPr>
          <w:rFonts w:ascii="Times New Roman" w:hAnsi="Times New Roman" w:cs="Times New Roman"/>
          <w:b/>
          <w:sz w:val="20"/>
          <w:szCs w:val="20"/>
          <w:lang w:val="hr-HR"/>
        </w:rPr>
        <w:t xml:space="preserve"> asistent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za užu naučnu oblast „Geookolinski inžinjering“</w:t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  <w:t xml:space="preserve">         1 izvršilac</w:t>
      </w:r>
    </w:p>
    <w:p w:rsidR="000675F0" w:rsidRDefault="000675F0" w:rsidP="00067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</w:p>
    <w:p w:rsidR="000675F0" w:rsidRDefault="000675F0" w:rsidP="00067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z w:val="20"/>
          <w:szCs w:val="20"/>
        </w:rPr>
        <w:t>Kandidati  za izbor u naučno-nastavna i saradnička zvanja sa zasnivanjem radnog odnosa moraju  ispunjavati sljedeće opće i posebne uslove i to:</w:t>
      </w:r>
    </w:p>
    <w:p w:rsidR="000675F0" w:rsidRDefault="000675F0" w:rsidP="00067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0675F0" w:rsidRDefault="000675F0" w:rsidP="00067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1. Opći uslovi: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a) da je državljanin Bosne i Hercegovine;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b) da je zdravstveno sposoban za obavljanje poslova radnog mjesta na koje aplicira;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c) da mu odlukom suda nije zabranjeno obavljanje poslova radnog mjesta na koje aplicira i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d) da se na njega ne odnosi član IX.1. Ustava Bosne i Hercegovine.</w:t>
      </w:r>
    </w:p>
    <w:p w:rsidR="000675F0" w:rsidRDefault="000675F0" w:rsidP="000675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2. Posebni uslovi</w:t>
      </w:r>
    </w:p>
    <w:p w:rsidR="000675F0" w:rsidRDefault="000675F0" w:rsidP="0006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Posebni uslovi  za izbor u sva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naučno-nastavna zvanja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propisani su članom 80. Zakona o visokom  obrazovanju - prečišćeni tekst („Službene novine Tuzlanskog kantona“, broj: 21/21, 22/21, 5/22, 11/22 i 16/22), (u </w:t>
      </w:r>
      <w:r>
        <w:rPr>
          <w:rFonts w:ascii="Times New Roman" w:hAnsi="Times New Roman" w:cs="Times New Roman"/>
          <w:sz w:val="20"/>
          <w:szCs w:val="20"/>
        </w:rPr>
        <w:t>daljem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tekstu Zakon), članom  244. Statuta Univerziteta u Tuzli (Prečišćeni tekst) broj: 03-5695-1-2/23 od 18.10.2023. godine (u daljem tekstu: Statut) i Odlukama  o utvrđivanju posebnih uslova za izbor u  akademska  zvanja na Univerzitetu u Tuzli (u daljem tekstu: Odluke) za uže naučne/umjetničke oblasti/nastavne predmete za koje se vrši izbor broj: 03-6072-1-4.1/22 od 02.11.2022. godine, broj: 03-6342-1-3/22 od 18.11.2022. godine, 03-2586-1-15.1/23 od 10.05.2023. godine i broj: 03-5206-1-10/23 od 29.09.2023. godine.</w:t>
      </w:r>
    </w:p>
    <w:p w:rsidR="000675F0" w:rsidRDefault="000675F0" w:rsidP="00067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75F0" w:rsidRDefault="000675F0" w:rsidP="0006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Posebni uslovi  za izbor  u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saradnička zvanja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propisani su članom 80. stav (1) tačke e) i f) i članom 81. tačke d) i f) Zakona, članom 245. i 248. Statuta i Odlukama o utvrđivanju posebnih uslova za izbor u akademska zvanja na uže naučne/umjetničke oblasti/nastavne predmete na Univerzitetu u Tuzli. </w:t>
      </w:r>
    </w:p>
    <w:p w:rsidR="000675F0" w:rsidRDefault="000675F0" w:rsidP="0006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75F0" w:rsidRDefault="000675F0" w:rsidP="00067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Zakon, Statut  i Odluke dostupni su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 web stranici Univerziteta u Tuzli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/>
            <w:color w:val="auto"/>
            <w:sz w:val="20"/>
            <w:szCs w:val="20"/>
          </w:rPr>
          <w:t>www.untz.ba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0675F0" w:rsidRDefault="000675F0" w:rsidP="0006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75F0" w:rsidRDefault="000675F0" w:rsidP="000675F0">
      <w:pPr>
        <w:pStyle w:val="NoSpacing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II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Uz svojeručno potpisanu prijavu na Konkurs kandidat obavezno prilaže: </w:t>
      </w:r>
    </w:p>
    <w:p w:rsidR="000675F0" w:rsidRDefault="000675F0" w:rsidP="000675F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0675F0" w:rsidRDefault="000675F0" w:rsidP="000675F0">
      <w:pPr>
        <w:pStyle w:val="NoSpacing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 Biografiju (potpisanu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0675F0" w:rsidRDefault="000675F0" w:rsidP="000675F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 Dokaze o ispunjavanju općih uslova, </w:t>
      </w:r>
      <w:r>
        <w:rPr>
          <w:rFonts w:ascii="Times New Roman" w:eastAsia="Times New Roman" w:hAnsi="Times New Roman" w:cs="Times New Roman"/>
          <w:sz w:val="20"/>
          <w:szCs w:val="20"/>
        </w:rPr>
        <w:t>i to: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- uvjerenje o državljanstvu BiH, ne starije od šest mjeseci, fotokopiju ovjerenu kod nadležnog organa ili notara,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- izjavu da mu odlukom suda nije zabranjeno obavljanje poslova radnog mjesta na koje aplicira, ovjerenu kod  </w:t>
      </w:r>
    </w:p>
    <w:p w:rsidR="000675F0" w:rsidRDefault="000675F0" w:rsidP="000675F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nadležnog organa ili notara,  </w:t>
      </w:r>
    </w:p>
    <w:p w:rsidR="000675F0" w:rsidRDefault="000675F0" w:rsidP="000675F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- izjavu da se na njega ne odnosi član IX. 1. Ustava Bosne i Hercegovine, ovjerenu kod nadležnog organa ili </w:t>
      </w:r>
    </w:p>
    <w:p w:rsidR="000675F0" w:rsidRDefault="000675F0" w:rsidP="000675F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notara</w:t>
      </w:r>
    </w:p>
    <w:p w:rsidR="000675F0" w:rsidRDefault="000675F0" w:rsidP="00067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- Dokaze o ispunjavanju posebnih uslova </w:t>
      </w:r>
      <w:r>
        <w:rPr>
          <w:rFonts w:ascii="Times New Roman" w:eastAsia="Times New Roman" w:hAnsi="Times New Roman" w:cs="Times New Roman"/>
          <w:sz w:val="20"/>
          <w:szCs w:val="20"/>
        </w:rPr>
        <w:t>za izbor u nastavnička zvanje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iz tačke I.2.1</w:t>
      </w:r>
    </w:p>
    <w:p w:rsidR="000675F0" w:rsidRDefault="000675F0" w:rsidP="00067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- Dokaze o ispunjavanju posebnih uslova </w:t>
      </w:r>
      <w:r>
        <w:rPr>
          <w:rFonts w:ascii="Times New Roman" w:eastAsia="Times New Roman" w:hAnsi="Times New Roman" w:cs="Times New Roman"/>
          <w:sz w:val="20"/>
          <w:szCs w:val="20"/>
        </w:rPr>
        <w:t>za izbor u saradnička zvanja iz tačke I.2.2</w:t>
      </w:r>
    </w:p>
    <w:p w:rsidR="000675F0" w:rsidRDefault="000675F0" w:rsidP="00067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4. Izjavu da nije pravosnažno osuđen na kaznu zatvora u trajanju dužem od tri mjeseca za neko od krivičnih djela iz stava (3) člana 59. Zakona,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ovjerenu od strane nadležnog organa ili notara </w:t>
      </w:r>
    </w:p>
    <w:p w:rsidR="000675F0" w:rsidRDefault="000675F0" w:rsidP="0006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75F0" w:rsidRDefault="000675F0" w:rsidP="0006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 slučaju da se na konkurs za izbor u nastavnička ili saradnička zvanja za određenu poziciju prijavi više kandidata čije su prijave blagovremene i potpune i koji ispunjavanju uslove za izbor, rangiranje kandidata vrši se po kriterijima utvrđenim članom 258. Statuta za nastavnička zvanja, a članom 245. stavovi (5) i (9) Statuta i Pravilnikom o načinu vrednovanja kriterija u postupku izbora asistenata i viših asistenata na Univerzitetu u Tuzli broj: 03-6205-1-1/20 od 24.12.2020. godine, broj: 03-3840-1-4/22 od 21.07.2022. godine i broj: 03-6746-1-1/23 od 21.11.2023. godine (u daljem tekstu: Pravilnik) za saradnička zvanja, s tim da se bodovanje vrši samo na osnovu pruženih dokaza.</w:t>
      </w:r>
    </w:p>
    <w:p w:rsidR="000675F0" w:rsidRDefault="000675F0" w:rsidP="000675F0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75F0" w:rsidRDefault="000675F0" w:rsidP="000675F0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Dokazi traženi konkursom dostavljaju se u fotokopiji ovjerenoj kod nadležnog organa ili notara, izjave ovjerene kod nadležnog organa ili notara, naučni radovi u fotokopiji, domaće publikacije uvezani primjerak u punom obimu, a publikacije objavljene u inostranstvu u štampanoj formi ili elektronskoj formi na web stranici izdavača ili Univerziteta.</w:t>
      </w:r>
    </w:p>
    <w:p w:rsidR="000675F0" w:rsidRDefault="000675F0" w:rsidP="000675F0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675F0" w:rsidRDefault="000675F0" w:rsidP="0006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Kandidat za izbor u zvanje docenta koji nema pokazane nastavničke sposobnosti (iskustvo u  nastavnom radu na visokoškolskoj ustanovi), a koji ispunjava ostale propisane uslove za izbor u zvanje docenta biti će pozvan da održi pristupno predavanje iz nastavnog predmeta, odnosno uže naučne oblasti za koju je konkurisao.</w:t>
      </w:r>
    </w:p>
    <w:p w:rsidR="000675F0" w:rsidRDefault="000675F0" w:rsidP="0006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75F0" w:rsidRDefault="000675F0" w:rsidP="000675F0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Pravo prijave na konkurs za ima i lice koje je izabrano na Univerzitetu bez zasnovanog radnog odnosa na užoj naučnoj/umjetničkoj oblasti raspisanoj konkursom.</w:t>
      </w:r>
    </w:p>
    <w:p w:rsidR="000675F0" w:rsidRDefault="000675F0" w:rsidP="000675F0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675F0" w:rsidRDefault="000675F0" w:rsidP="000675F0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Spisak dokumentacije kojom se dokazuje ispunjavanje uslova iz Konkursa te dokaza na osnovu kojih se vrši rangiranje kandidata nalazi se na web stranici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</w:rPr>
          <w:t>www.untz.ba/</w:t>
        </w:r>
      </w:hyperlink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konkursi</w:t>
      </w:r>
    </w:p>
    <w:p w:rsidR="000675F0" w:rsidRDefault="000675F0" w:rsidP="000675F0">
      <w:pPr>
        <w:pStyle w:val="NoSpacing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675F0" w:rsidRDefault="000675F0" w:rsidP="000675F0">
      <w:pPr>
        <w:pStyle w:val="NoSpacing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III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Opis poslova nastavnika i saradnika utvrđen je Pravilnikom o unutrašnjoj organizaciji i sistematizaciji radnih mjesta (drugi prečišćeni tekst) koji je dostupan na  na web stranici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www.untz.ba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0675F0" w:rsidRDefault="000675F0" w:rsidP="000675F0">
      <w:pPr>
        <w:pStyle w:val="NoSpacing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  <w:t>Sa izabranim kandidatom zasniva se radni odnos po konačnosti odluke, a isti je  dužan,  prije zaključivanja ugovora o radu dostaviti ljekarsko uvjerenje nadležne zdravstvene ustanove, ne starije od 6 (šest) mjeseci.</w:t>
      </w:r>
    </w:p>
    <w:p w:rsidR="000675F0" w:rsidRDefault="000675F0" w:rsidP="000675F0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75F0" w:rsidRDefault="000675F0" w:rsidP="000675F0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IV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Rok za podnošenje prijava na konkurs je 15 dana od dana objavljivanja u dnevnom listu „Dnevni avaz“ i na web stranici Univerziteta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www.untz.ba.</w:t>
      </w:r>
    </w:p>
    <w:p w:rsidR="000675F0" w:rsidRDefault="000675F0" w:rsidP="000675F0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75F0" w:rsidRDefault="000675F0" w:rsidP="000675F0">
      <w:pPr>
        <w:pStyle w:val="NoSpacing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V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Prijava na konkurs sa dokazima dostavlja se putem Pisarnice Univerziteta ili preporučeno poštom na adresu: UNIVERZITET U TUZLI Ul. Dr. Tihomila Markovića broj. 1. 75 000 TUZLA, sa naznakom „Prijava na konkurs za izbor u naučno-nastavna/saradnička zvanja sa zasnivanjem radnog odnosa'', te sa obaveznom naznakom naziva Fakulteta/Akademije i uže naučne/umjetničke oblasti - „NE OTVARAJ“. </w:t>
      </w:r>
    </w:p>
    <w:p w:rsidR="000675F0" w:rsidRDefault="000675F0" w:rsidP="000675F0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75F0" w:rsidRDefault="000675F0" w:rsidP="000675F0">
      <w:pPr>
        <w:pStyle w:val="NoSpacing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Nepotpune, neblagovremene i nedopuštene prijave neće se uzeti u razmatranje.</w:t>
      </w:r>
    </w:p>
    <w:p w:rsidR="006B1AE8" w:rsidRPr="000675F0" w:rsidRDefault="006B1AE8" w:rsidP="000675F0"/>
    <w:sectPr w:rsidR="006B1AE8" w:rsidRPr="000675F0" w:rsidSect="00D8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191E5C"/>
    <w:rsid w:val="00017A32"/>
    <w:rsid w:val="00024F47"/>
    <w:rsid w:val="000278C0"/>
    <w:rsid w:val="000308DE"/>
    <w:rsid w:val="00035B63"/>
    <w:rsid w:val="00041CBD"/>
    <w:rsid w:val="000534BA"/>
    <w:rsid w:val="000651D9"/>
    <w:rsid w:val="000675F0"/>
    <w:rsid w:val="00070595"/>
    <w:rsid w:val="000C1BB4"/>
    <w:rsid w:val="000D1DD1"/>
    <w:rsid w:val="00115CB6"/>
    <w:rsid w:val="00120F6B"/>
    <w:rsid w:val="001706A1"/>
    <w:rsid w:val="00186AB8"/>
    <w:rsid w:val="00191E5C"/>
    <w:rsid w:val="001B16F8"/>
    <w:rsid w:val="001D0CF9"/>
    <w:rsid w:val="001F1937"/>
    <w:rsid w:val="001F1B11"/>
    <w:rsid w:val="001F74BF"/>
    <w:rsid w:val="00200304"/>
    <w:rsid w:val="00203CB9"/>
    <w:rsid w:val="002247C8"/>
    <w:rsid w:val="00230703"/>
    <w:rsid w:val="00237E03"/>
    <w:rsid w:val="0027110D"/>
    <w:rsid w:val="00294A17"/>
    <w:rsid w:val="003223B6"/>
    <w:rsid w:val="00330B0B"/>
    <w:rsid w:val="00334975"/>
    <w:rsid w:val="00334EF3"/>
    <w:rsid w:val="00356C12"/>
    <w:rsid w:val="00362E7A"/>
    <w:rsid w:val="0037102E"/>
    <w:rsid w:val="003A43BF"/>
    <w:rsid w:val="003C5B23"/>
    <w:rsid w:val="003E007C"/>
    <w:rsid w:val="004069A0"/>
    <w:rsid w:val="00441279"/>
    <w:rsid w:val="0044552A"/>
    <w:rsid w:val="004617F5"/>
    <w:rsid w:val="00461C99"/>
    <w:rsid w:val="004706A9"/>
    <w:rsid w:val="004858F0"/>
    <w:rsid w:val="004A013F"/>
    <w:rsid w:val="004A135A"/>
    <w:rsid w:val="004C1852"/>
    <w:rsid w:val="00503CE9"/>
    <w:rsid w:val="005570C7"/>
    <w:rsid w:val="005B5D29"/>
    <w:rsid w:val="00600ECD"/>
    <w:rsid w:val="00614EA8"/>
    <w:rsid w:val="00632BBC"/>
    <w:rsid w:val="00652D07"/>
    <w:rsid w:val="00653A3B"/>
    <w:rsid w:val="00653F86"/>
    <w:rsid w:val="0065629B"/>
    <w:rsid w:val="00664180"/>
    <w:rsid w:val="00680B95"/>
    <w:rsid w:val="00694644"/>
    <w:rsid w:val="006A04F4"/>
    <w:rsid w:val="006A0830"/>
    <w:rsid w:val="006A3A58"/>
    <w:rsid w:val="006A72A6"/>
    <w:rsid w:val="006B1AE8"/>
    <w:rsid w:val="006B7085"/>
    <w:rsid w:val="006D5C7F"/>
    <w:rsid w:val="006E2F48"/>
    <w:rsid w:val="007043FA"/>
    <w:rsid w:val="00710378"/>
    <w:rsid w:val="0071143B"/>
    <w:rsid w:val="00727A5C"/>
    <w:rsid w:val="00732339"/>
    <w:rsid w:val="00751D54"/>
    <w:rsid w:val="0079102E"/>
    <w:rsid w:val="007B11D2"/>
    <w:rsid w:val="007C04D2"/>
    <w:rsid w:val="007C17D1"/>
    <w:rsid w:val="007D1862"/>
    <w:rsid w:val="007D3650"/>
    <w:rsid w:val="007D7B75"/>
    <w:rsid w:val="008371AA"/>
    <w:rsid w:val="00855307"/>
    <w:rsid w:val="00872EF8"/>
    <w:rsid w:val="00875E51"/>
    <w:rsid w:val="00884E73"/>
    <w:rsid w:val="0088771B"/>
    <w:rsid w:val="00894AC4"/>
    <w:rsid w:val="0089777B"/>
    <w:rsid w:val="008A4FBA"/>
    <w:rsid w:val="008B5C1A"/>
    <w:rsid w:val="008C36E4"/>
    <w:rsid w:val="008C744E"/>
    <w:rsid w:val="008E19A8"/>
    <w:rsid w:val="008F2C67"/>
    <w:rsid w:val="00907DAB"/>
    <w:rsid w:val="009B3DA7"/>
    <w:rsid w:val="009C5015"/>
    <w:rsid w:val="009F4EA1"/>
    <w:rsid w:val="00A11723"/>
    <w:rsid w:val="00A612E5"/>
    <w:rsid w:val="00A63627"/>
    <w:rsid w:val="00A765BB"/>
    <w:rsid w:val="00A933B8"/>
    <w:rsid w:val="00A9381C"/>
    <w:rsid w:val="00AD761E"/>
    <w:rsid w:val="00AE0070"/>
    <w:rsid w:val="00B113D0"/>
    <w:rsid w:val="00B14150"/>
    <w:rsid w:val="00B15F18"/>
    <w:rsid w:val="00B22C09"/>
    <w:rsid w:val="00B5689A"/>
    <w:rsid w:val="00B57194"/>
    <w:rsid w:val="00B8271C"/>
    <w:rsid w:val="00BA77E4"/>
    <w:rsid w:val="00BC5325"/>
    <w:rsid w:val="00BE11E3"/>
    <w:rsid w:val="00BE3867"/>
    <w:rsid w:val="00BE6767"/>
    <w:rsid w:val="00BF59F2"/>
    <w:rsid w:val="00C14A34"/>
    <w:rsid w:val="00C14B54"/>
    <w:rsid w:val="00C537B7"/>
    <w:rsid w:val="00C878CA"/>
    <w:rsid w:val="00C92483"/>
    <w:rsid w:val="00C958FD"/>
    <w:rsid w:val="00C95C2E"/>
    <w:rsid w:val="00CC1BED"/>
    <w:rsid w:val="00CF4B38"/>
    <w:rsid w:val="00CF7EC5"/>
    <w:rsid w:val="00D015C7"/>
    <w:rsid w:val="00D060AE"/>
    <w:rsid w:val="00D37029"/>
    <w:rsid w:val="00D45AB0"/>
    <w:rsid w:val="00D822D0"/>
    <w:rsid w:val="00D82B4F"/>
    <w:rsid w:val="00D96CD5"/>
    <w:rsid w:val="00DC5F6D"/>
    <w:rsid w:val="00DD23D4"/>
    <w:rsid w:val="00DE791B"/>
    <w:rsid w:val="00DF064F"/>
    <w:rsid w:val="00E16405"/>
    <w:rsid w:val="00E16E48"/>
    <w:rsid w:val="00E20045"/>
    <w:rsid w:val="00E34628"/>
    <w:rsid w:val="00E67FEA"/>
    <w:rsid w:val="00E72FBD"/>
    <w:rsid w:val="00E74BDB"/>
    <w:rsid w:val="00E87A31"/>
    <w:rsid w:val="00EB64EE"/>
    <w:rsid w:val="00EC653B"/>
    <w:rsid w:val="00ED2A0A"/>
    <w:rsid w:val="00EE2281"/>
    <w:rsid w:val="00F01773"/>
    <w:rsid w:val="00F06BCB"/>
    <w:rsid w:val="00F1207F"/>
    <w:rsid w:val="00F16652"/>
    <w:rsid w:val="00F43565"/>
    <w:rsid w:val="00F501C7"/>
    <w:rsid w:val="00F5250D"/>
    <w:rsid w:val="00F52C13"/>
    <w:rsid w:val="00F5357A"/>
    <w:rsid w:val="00F620F6"/>
    <w:rsid w:val="00F668D5"/>
    <w:rsid w:val="00F93297"/>
    <w:rsid w:val="00FB09B1"/>
    <w:rsid w:val="00FC6F5A"/>
    <w:rsid w:val="00FD567B"/>
    <w:rsid w:val="00FF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E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1E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5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tz.ba" TargetMode="External"/><Relationship Id="rId5" Type="http://schemas.openxmlformats.org/officeDocument/2006/relationships/hyperlink" Target="http://www.untz.ba/" TargetMode="External"/><Relationship Id="rId4" Type="http://schemas.openxmlformats.org/officeDocument/2006/relationships/hyperlink" Target="http://www.unitz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Ahmo</dc:creator>
  <cp:lastModifiedBy>Ahmo</cp:lastModifiedBy>
  <cp:revision>40</cp:revision>
  <cp:lastPrinted>2023-12-13T11:08:00Z</cp:lastPrinted>
  <dcterms:created xsi:type="dcterms:W3CDTF">2023-11-30T08:12:00Z</dcterms:created>
  <dcterms:modified xsi:type="dcterms:W3CDTF">2024-04-23T06:03:00Z</dcterms:modified>
</cp:coreProperties>
</file>